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Uddevalla kommunfullmäktige</w:t>
      </w:r>
    </w:p>
    <w:p>
      <w:pPr>
        <w:pStyle w:val="Heading1"/>
      </w:pPr>
      <w:r>
        <w:t xml:space="preserve">Effektivisering av kommunens administration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Uddevalla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Uddevallas administrativa kostnader ligger 8 % över jämförbara kommuner enligt Kolada. Moderaterna vill värna skattebetalarnas pengar genom smartare arbetssätt.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Uddevalla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Uddevalla kommunfullmäktige beslutar om en översyn av administrativa processer med mål om 5 % besparing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digitala verktyg prioriteras för att minska pappershantering.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extern granskning genomförs under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redovisas i budgetunderlaget 2028.</w:t>
      </w:r>
    </w:p>
    <w:p>
      <w:pPr>
        <w:spacing w:before="360"/>
      </w:pPr>
    </w:p>
    <w:p>
      <w:r>
        <w:t xml:space="preserve">Uddevalla,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Uddevalla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2026-06-06T01:48:32.395Z</dcterms:created>
  <dcterms:modified xsi:type="dcterms:W3CDTF">2026-06-06T01:48:32.395Z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